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2366"/>
        <w:gridCol w:w="1801"/>
        <w:gridCol w:w="1801"/>
        <w:gridCol w:w="1801"/>
        <w:gridCol w:w="1802"/>
      </w:tblGrid>
      <w:tr w:rsidR="00736F8E" w:rsidTr="00736F8E">
        <w:tc>
          <w:tcPr>
            <w:tcW w:w="2366" w:type="dxa"/>
            <w:vMerge w:val="restart"/>
          </w:tcPr>
          <w:p w:rsidR="00736F8E" w:rsidRDefault="00736F8E" w:rsidP="00736F8E">
            <w:r>
              <w:t>Наименование статьи расходов федерального бюджета</w:t>
            </w:r>
          </w:p>
        </w:tc>
        <w:tc>
          <w:tcPr>
            <w:tcW w:w="7205" w:type="dxa"/>
            <w:gridSpan w:val="4"/>
          </w:tcPr>
          <w:p w:rsidR="00736F8E" w:rsidRDefault="00736F8E" w:rsidP="00736F8E">
            <w:pPr>
              <w:jc w:val="center"/>
            </w:pPr>
            <w:r>
              <w:t>Удельный вес статьи в общем объеме расходов, %</w:t>
            </w:r>
          </w:p>
        </w:tc>
      </w:tr>
      <w:tr w:rsidR="00736F8E" w:rsidTr="00736F8E">
        <w:tc>
          <w:tcPr>
            <w:tcW w:w="2366" w:type="dxa"/>
            <w:vMerge/>
          </w:tcPr>
          <w:p w:rsidR="00736F8E" w:rsidRDefault="00736F8E" w:rsidP="00736F8E"/>
        </w:tc>
        <w:tc>
          <w:tcPr>
            <w:tcW w:w="1801" w:type="dxa"/>
          </w:tcPr>
          <w:p w:rsidR="00736F8E" w:rsidRDefault="00736F8E" w:rsidP="00736F8E">
            <w:r>
              <w:t>2011</w:t>
            </w:r>
          </w:p>
          <w:p w:rsidR="00736F8E" w:rsidRDefault="00736F8E" w:rsidP="00736F8E"/>
        </w:tc>
        <w:tc>
          <w:tcPr>
            <w:tcW w:w="1801" w:type="dxa"/>
          </w:tcPr>
          <w:p w:rsidR="00736F8E" w:rsidRDefault="00736F8E" w:rsidP="00736F8E">
            <w:r>
              <w:t>2012</w:t>
            </w:r>
          </w:p>
        </w:tc>
        <w:tc>
          <w:tcPr>
            <w:tcW w:w="1801" w:type="dxa"/>
          </w:tcPr>
          <w:p w:rsidR="00736F8E" w:rsidRDefault="00736F8E" w:rsidP="00736F8E">
            <w:r>
              <w:t>2013</w:t>
            </w:r>
          </w:p>
        </w:tc>
        <w:tc>
          <w:tcPr>
            <w:tcW w:w="1802" w:type="dxa"/>
          </w:tcPr>
          <w:p w:rsidR="00736F8E" w:rsidRDefault="00736F8E" w:rsidP="00736F8E">
            <w:r>
              <w:t>2014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>
              <w:t>Социальная политика</w:t>
            </w:r>
          </w:p>
        </w:tc>
        <w:tc>
          <w:tcPr>
            <w:tcW w:w="1801" w:type="dxa"/>
          </w:tcPr>
          <w:p w:rsidR="00736F8E" w:rsidRDefault="00736F8E" w:rsidP="00736F8E">
            <w:r>
              <w:t>28,6</w:t>
            </w:r>
          </w:p>
        </w:tc>
        <w:tc>
          <w:tcPr>
            <w:tcW w:w="1801" w:type="dxa"/>
          </w:tcPr>
          <w:p w:rsidR="00736F8E" w:rsidRDefault="00736F8E" w:rsidP="00736F8E">
            <w:r>
              <w:t>29,9</w:t>
            </w:r>
          </w:p>
        </w:tc>
        <w:tc>
          <w:tcPr>
            <w:tcW w:w="1801" w:type="dxa"/>
          </w:tcPr>
          <w:p w:rsidR="00736F8E" w:rsidRDefault="00736F8E" w:rsidP="00736F8E">
            <w:r>
              <w:t>28,7</w:t>
            </w:r>
          </w:p>
        </w:tc>
        <w:tc>
          <w:tcPr>
            <w:tcW w:w="1802" w:type="dxa"/>
          </w:tcPr>
          <w:p w:rsidR="00736F8E" w:rsidRDefault="00330B0B" w:rsidP="00736F8E">
            <w:r>
              <w:t>26,6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>
              <w:t>Национальная экономика</w:t>
            </w:r>
          </w:p>
        </w:tc>
        <w:tc>
          <w:tcPr>
            <w:tcW w:w="1801" w:type="dxa"/>
          </w:tcPr>
          <w:p w:rsidR="00736F8E" w:rsidRDefault="00736F8E" w:rsidP="00736F8E">
            <w:r>
              <w:t>16,4</w:t>
            </w:r>
          </w:p>
        </w:tc>
        <w:tc>
          <w:tcPr>
            <w:tcW w:w="1801" w:type="dxa"/>
          </w:tcPr>
          <w:p w:rsidR="00736F8E" w:rsidRDefault="00736F8E" w:rsidP="00736F8E">
            <w:r>
              <w:t>15,3</w:t>
            </w:r>
          </w:p>
        </w:tc>
        <w:tc>
          <w:tcPr>
            <w:tcW w:w="1801" w:type="dxa"/>
          </w:tcPr>
          <w:p w:rsidR="00736F8E" w:rsidRDefault="00330B0B" w:rsidP="00736F8E">
            <w:r>
              <w:t>13,9</w:t>
            </w:r>
          </w:p>
        </w:tc>
        <w:tc>
          <w:tcPr>
            <w:tcW w:w="1802" w:type="dxa"/>
          </w:tcPr>
          <w:p w:rsidR="00736F8E" w:rsidRDefault="00330B0B" w:rsidP="00736F8E">
            <w:r>
              <w:t>13,1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 w:rsidRPr="00330B0B">
              <w:rPr>
                <w:color w:val="FF0000"/>
              </w:rPr>
              <w:t>Национальная оборона</w:t>
            </w:r>
          </w:p>
        </w:tc>
        <w:tc>
          <w:tcPr>
            <w:tcW w:w="1801" w:type="dxa"/>
          </w:tcPr>
          <w:p w:rsidR="00736F8E" w:rsidRPr="00330B0B" w:rsidRDefault="00736F8E" w:rsidP="00736F8E">
            <w:pPr>
              <w:rPr>
                <w:color w:val="FF0000"/>
              </w:rPr>
            </w:pPr>
            <w:r w:rsidRPr="00330B0B">
              <w:rPr>
                <w:color w:val="FF0000"/>
              </w:rPr>
              <w:t>13,9</w:t>
            </w:r>
          </w:p>
        </w:tc>
        <w:tc>
          <w:tcPr>
            <w:tcW w:w="1801" w:type="dxa"/>
          </w:tcPr>
          <w:p w:rsidR="00736F8E" w:rsidRPr="00330B0B" w:rsidRDefault="00736F8E" w:rsidP="00736F8E">
            <w:pPr>
              <w:rPr>
                <w:color w:val="FF0000"/>
              </w:rPr>
            </w:pPr>
            <w:r w:rsidRPr="00330B0B">
              <w:rPr>
                <w:color w:val="FF0000"/>
              </w:rPr>
              <w:t>14,1</w:t>
            </w:r>
          </w:p>
        </w:tc>
        <w:tc>
          <w:tcPr>
            <w:tcW w:w="1801" w:type="dxa"/>
          </w:tcPr>
          <w:p w:rsidR="00736F8E" w:rsidRPr="00330B0B" w:rsidRDefault="00330B0B" w:rsidP="00736F8E">
            <w:pPr>
              <w:rPr>
                <w:color w:val="FF0000"/>
              </w:rPr>
            </w:pPr>
            <w:r w:rsidRPr="00330B0B">
              <w:rPr>
                <w:color w:val="FF0000"/>
              </w:rPr>
              <w:t>15,8</w:t>
            </w:r>
          </w:p>
        </w:tc>
        <w:tc>
          <w:tcPr>
            <w:tcW w:w="1802" w:type="dxa"/>
          </w:tcPr>
          <w:p w:rsidR="00736F8E" w:rsidRPr="00330B0B" w:rsidRDefault="00330B0B" w:rsidP="00736F8E">
            <w:pPr>
              <w:rPr>
                <w:color w:val="FF0000"/>
              </w:rPr>
            </w:pPr>
            <w:r w:rsidRPr="00330B0B">
              <w:rPr>
                <w:color w:val="FF0000"/>
              </w:rPr>
              <w:t>18,0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>
              <w:t>Национальная безопасность и правоохранительная деятельность</w:t>
            </w:r>
          </w:p>
        </w:tc>
        <w:tc>
          <w:tcPr>
            <w:tcW w:w="1801" w:type="dxa"/>
          </w:tcPr>
          <w:p w:rsidR="00736F8E" w:rsidRDefault="00736F8E" w:rsidP="00736F8E">
            <w:r>
              <w:t>11,5</w:t>
            </w:r>
          </w:p>
        </w:tc>
        <w:tc>
          <w:tcPr>
            <w:tcW w:w="1801" w:type="dxa"/>
          </w:tcPr>
          <w:p w:rsidR="00736F8E" w:rsidRDefault="00736F8E" w:rsidP="00736F8E">
            <w:r>
              <w:t>14,3</w:t>
            </w:r>
          </w:p>
        </w:tc>
        <w:tc>
          <w:tcPr>
            <w:tcW w:w="1801" w:type="dxa"/>
          </w:tcPr>
          <w:p w:rsidR="00736F8E" w:rsidRDefault="00330B0B" w:rsidP="00736F8E">
            <w:r>
              <w:t>15,5</w:t>
            </w:r>
          </w:p>
        </w:tc>
        <w:tc>
          <w:tcPr>
            <w:tcW w:w="1802" w:type="dxa"/>
          </w:tcPr>
          <w:p w:rsidR="00736F8E" w:rsidRDefault="00330B0B" w:rsidP="00736F8E">
            <w:r>
              <w:t>14,9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>
              <w:t>Общегосударственные вопросы</w:t>
            </w:r>
          </w:p>
        </w:tc>
        <w:tc>
          <w:tcPr>
            <w:tcW w:w="1801" w:type="dxa"/>
          </w:tcPr>
          <w:p w:rsidR="00736F8E" w:rsidRDefault="00736F8E" w:rsidP="00736F8E">
            <w:r>
              <w:t>7,2</w:t>
            </w:r>
          </w:p>
        </w:tc>
        <w:tc>
          <w:tcPr>
            <w:tcW w:w="1801" w:type="dxa"/>
          </w:tcPr>
          <w:p w:rsidR="00736F8E" w:rsidRDefault="00736F8E" w:rsidP="00736F8E">
            <w:r>
              <w:t>6,3</w:t>
            </w:r>
          </w:p>
        </w:tc>
        <w:tc>
          <w:tcPr>
            <w:tcW w:w="1801" w:type="dxa"/>
          </w:tcPr>
          <w:p w:rsidR="00736F8E" w:rsidRDefault="00330B0B" w:rsidP="00736F8E">
            <w:r>
              <w:t>6,4</w:t>
            </w:r>
          </w:p>
        </w:tc>
        <w:tc>
          <w:tcPr>
            <w:tcW w:w="1802" w:type="dxa"/>
          </w:tcPr>
          <w:p w:rsidR="00736F8E" w:rsidRDefault="00330B0B" w:rsidP="00736F8E">
            <w:r>
              <w:t>6,6</w:t>
            </w:r>
          </w:p>
        </w:tc>
      </w:tr>
      <w:tr w:rsidR="00736F8E" w:rsidTr="00736F8E">
        <w:tc>
          <w:tcPr>
            <w:tcW w:w="2366" w:type="dxa"/>
          </w:tcPr>
          <w:p w:rsidR="00736F8E" w:rsidRDefault="00736F8E" w:rsidP="00736F8E">
            <w:r>
              <w:t>Прочие расходы*</w:t>
            </w:r>
          </w:p>
        </w:tc>
        <w:tc>
          <w:tcPr>
            <w:tcW w:w="1801" w:type="dxa"/>
          </w:tcPr>
          <w:p w:rsidR="00736F8E" w:rsidRDefault="00736F8E" w:rsidP="00736F8E">
            <w:r>
              <w:t>22,4</w:t>
            </w:r>
          </w:p>
        </w:tc>
        <w:tc>
          <w:tcPr>
            <w:tcW w:w="1801" w:type="dxa"/>
          </w:tcPr>
          <w:p w:rsidR="00736F8E" w:rsidRDefault="00736F8E" w:rsidP="00736F8E">
            <w:r>
              <w:t>20,2</w:t>
            </w:r>
          </w:p>
        </w:tc>
        <w:tc>
          <w:tcPr>
            <w:tcW w:w="1801" w:type="dxa"/>
          </w:tcPr>
          <w:p w:rsidR="00736F8E" w:rsidRDefault="00330B0B" w:rsidP="00736F8E">
            <w:r>
              <w:t>19,8</w:t>
            </w:r>
          </w:p>
        </w:tc>
        <w:tc>
          <w:tcPr>
            <w:tcW w:w="1802" w:type="dxa"/>
          </w:tcPr>
          <w:p w:rsidR="00736F8E" w:rsidRDefault="00330B0B" w:rsidP="00736F8E">
            <w:r>
              <w:t>20,8</w:t>
            </w:r>
          </w:p>
        </w:tc>
      </w:tr>
    </w:tbl>
    <w:p w:rsidR="00736F8E" w:rsidRDefault="00736F8E" w:rsidP="00736F8E">
      <w:pPr>
        <w:jc w:val="center"/>
      </w:pPr>
      <w:r>
        <w:t>Распределение федерального бюджета по направлениям (основные статьи расходов)</w:t>
      </w:r>
    </w:p>
    <w:p w:rsidR="00736F8E" w:rsidRPr="00736F8E" w:rsidRDefault="00736F8E" w:rsidP="00736F8E">
      <w:r>
        <w:t>* Образование, здравоохранение, ЖКХ</w:t>
      </w:r>
    </w:p>
    <w:p w:rsidR="00736F8E" w:rsidRPr="00330B0B" w:rsidRDefault="00330B0B" w:rsidP="00736F8E">
      <w:r w:rsidRPr="00330B0B">
        <w:rPr>
          <w:u w:val="single"/>
        </w:rPr>
        <w:t>Справочно</w:t>
      </w:r>
      <w:r>
        <w:rPr>
          <w:u w:val="single"/>
        </w:rPr>
        <w:t xml:space="preserve">:  </w:t>
      </w:r>
      <w:r w:rsidRPr="00330B0B">
        <w:t>доля расходов на оборону в 2009-2010 годах составляла  7,4%</w:t>
      </w:r>
    </w:p>
    <w:p w:rsidR="00736F8E" w:rsidRPr="00736F8E" w:rsidRDefault="00736F8E" w:rsidP="00736F8E"/>
    <w:p w:rsidR="00736F8E" w:rsidRPr="00736F8E" w:rsidRDefault="00736F8E" w:rsidP="00736F8E"/>
    <w:p w:rsidR="00736F8E" w:rsidRPr="00736F8E" w:rsidRDefault="00736F8E" w:rsidP="00736F8E">
      <w:bookmarkStart w:id="0" w:name="_GoBack"/>
      <w:bookmarkEnd w:id="0"/>
    </w:p>
    <w:p w:rsidR="00736F8E" w:rsidRPr="00736F8E" w:rsidRDefault="00736F8E" w:rsidP="00736F8E"/>
    <w:p w:rsidR="00736F8E" w:rsidRPr="00736F8E" w:rsidRDefault="00736F8E" w:rsidP="00736F8E"/>
    <w:p w:rsidR="00736F8E" w:rsidRPr="00736F8E" w:rsidRDefault="00736F8E" w:rsidP="00736F8E"/>
    <w:p w:rsidR="00694584" w:rsidRPr="00736F8E" w:rsidRDefault="00694584" w:rsidP="00736F8E"/>
    <w:sectPr w:rsidR="00694584" w:rsidRPr="0073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115"/>
    <w:multiLevelType w:val="hybridMultilevel"/>
    <w:tmpl w:val="02EE9B9E"/>
    <w:lvl w:ilvl="0" w:tplc="C3D65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37D86"/>
    <w:multiLevelType w:val="hybridMultilevel"/>
    <w:tmpl w:val="9AB816EC"/>
    <w:lvl w:ilvl="0" w:tplc="6DB2BF9E"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8E"/>
    <w:rsid w:val="00330B0B"/>
    <w:rsid w:val="00694584"/>
    <w:rsid w:val="007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2015-02-10T10:33:00Z</dcterms:created>
  <dcterms:modified xsi:type="dcterms:W3CDTF">2015-02-10T10:52:00Z</dcterms:modified>
</cp:coreProperties>
</file>